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7219AD"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5715A1"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7B5A78" w:rsidRDefault="00843F3A"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In 2019, the district was forced to make a number of reductions because of declining enrollment and a negative budget. One of the implications was to reduce all probationary staff at the elementary level. This resulted in releasing a probationary teacher that had been awarded the Teacher of the Year award for MN.</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EB0D79" w:rsidRPr="007B5A78"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7B5A78" w:rsidRDefault="00843F3A"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We desire to retain the best teachers during reductions. In this case we lost the best of the best because of contract language based upon seniority. We want to have language that differentiates between award winning teachers and teachers that have been disciplined in recent years. We should not terminate the Teacher of the Year when we can furlough a teacher with discipline action against them.</w:t>
      </w:r>
    </w:p>
    <w:p w:rsidR="00EB0D79" w:rsidRDefault="00EB0D79" w:rsidP="00EB0D79">
      <w:pPr>
        <w:pBdr>
          <w:top w:val="single" w:sz="4" w:space="1" w:color="auto"/>
          <w:left w:val="single" w:sz="4" w:space="4" w:color="auto"/>
          <w:bottom w:val="single" w:sz="4" w:space="1" w:color="auto"/>
          <w:right w:val="single" w:sz="4" w:space="4" w:color="auto"/>
        </w:pBdr>
        <w:rPr>
          <w:rFonts w:ascii="Arial Narrow" w:hAnsi="Arial Narrow"/>
        </w:rPr>
      </w:pPr>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p w:rsidR="00843F3A" w:rsidRPr="00CB562A" w:rsidRDefault="00843F3A" w:rsidP="00843F3A">
      <w:pPr>
        <w:tabs>
          <w:tab w:val="left" w:pos="-1440"/>
          <w:tab w:val="left" w:pos="-720"/>
          <w:tab w:val="left" w:pos="480"/>
          <w:tab w:val="left" w:pos="1440"/>
        </w:tabs>
        <w:ind w:left="1440" w:hanging="1080"/>
        <w:rPr>
          <w:u w:val="single"/>
        </w:rPr>
      </w:pPr>
      <w:r w:rsidRPr="00CB562A">
        <w:rPr>
          <w:rFonts w:ascii="Arial Narrow" w:hAnsi="Arial Narrow"/>
          <w:color w:val="000000"/>
          <w:sz w:val="20"/>
          <w:szCs w:val="20"/>
        </w:rPr>
        <w:t>ARTICLE XIII</w:t>
      </w:r>
      <w:r>
        <w:rPr>
          <w:rFonts w:ascii="Arial Narrow" w:hAnsi="Arial Narrow"/>
          <w:color w:val="000000"/>
          <w:sz w:val="20"/>
          <w:szCs w:val="20"/>
        </w:rPr>
        <w:t xml:space="preserve"> </w:t>
      </w:r>
      <w:r w:rsidRPr="00CB562A">
        <w:rPr>
          <w:rFonts w:ascii="Arial Narrow" w:hAnsi="Arial Narrow"/>
          <w:color w:val="000000"/>
          <w:sz w:val="20"/>
          <w:szCs w:val="20"/>
        </w:rPr>
        <w:t>UNREQUESTED LEAVE OF ABSENCE PROCESS</w:t>
      </w:r>
      <w:r>
        <w:rPr>
          <w:rFonts w:ascii="Arial Narrow" w:hAnsi="Arial Narrow"/>
          <w:color w:val="000000"/>
          <w:sz w:val="20"/>
          <w:szCs w:val="20"/>
        </w:rPr>
        <w:t xml:space="preserve"> </w:t>
      </w:r>
      <w:r w:rsidRPr="00CB562A">
        <w:rPr>
          <w:rFonts w:ascii="Arial Narrow" w:hAnsi="Arial Narrow"/>
          <w:color w:val="000000"/>
          <w:sz w:val="20"/>
          <w:szCs w:val="20"/>
        </w:rPr>
        <w:t>SENIORITY AGREEMENT</w:t>
      </w:r>
      <w:r>
        <w:rPr>
          <w:rFonts w:ascii="Arial Narrow" w:hAnsi="Arial Narrow"/>
          <w:color w:val="000000"/>
          <w:sz w:val="20"/>
          <w:szCs w:val="20"/>
        </w:rPr>
        <w:t xml:space="preserve"> </w:t>
      </w:r>
      <w:proofErr w:type="spellStart"/>
      <w:r w:rsidRPr="00CB562A">
        <w:rPr>
          <w:u w:val="single"/>
        </w:rPr>
        <w:t>Subd</w:t>
      </w:r>
      <w:proofErr w:type="spellEnd"/>
      <w:r w:rsidRPr="00CB562A">
        <w:rPr>
          <w:u w:val="single"/>
        </w:rPr>
        <w:t xml:space="preserve">. 1.  Definitions:  </w:t>
      </w:r>
    </w:p>
    <w:p w:rsidR="00843F3A" w:rsidRPr="00843F3A" w:rsidRDefault="00843F3A" w:rsidP="00843F3A">
      <w:pPr>
        <w:widowControl w:val="0"/>
        <w:tabs>
          <w:tab w:val="left" w:pos="-1440"/>
          <w:tab w:val="left" w:pos="-720"/>
        </w:tabs>
        <w:ind w:left="1440" w:hanging="360"/>
      </w:pPr>
      <w:r w:rsidRPr="00CB562A">
        <w:rPr>
          <w:u w:val="single"/>
        </w:rPr>
        <w:t>Board Priorities:</w:t>
      </w:r>
      <w:r w:rsidRPr="00CB562A">
        <w:t xml:space="preserve"> The Board will approve, on an annual basis, staffing retention priorities in August of the current fiscal year using Appendix D-3. The identified priorities shall not be subject to the unrequested leave process.</w:t>
      </w:r>
    </w:p>
    <w:p w:rsidR="00843F3A" w:rsidRPr="00843F3A" w:rsidRDefault="00843F3A" w:rsidP="00843F3A">
      <w:pPr>
        <w:widowControl w:val="0"/>
        <w:tabs>
          <w:tab w:val="left" w:pos="-1440"/>
          <w:tab w:val="left" w:pos="-720"/>
        </w:tabs>
        <w:ind w:left="1440" w:hanging="360"/>
      </w:pPr>
      <w:r w:rsidRPr="00CB562A">
        <w:rPr>
          <w:u w:val="single"/>
        </w:rPr>
        <w:t>Probationary Releases:</w:t>
      </w:r>
      <w:r w:rsidRPr="00CB562A">
        <w:t xml:space="preserve"> The annual non-renewal of probationary teachers as identified by administration and approved by the Board shall follow MN122A.40 </w:t>
      </w:r>
      <w:proofErr w:type="spellStart"/>
      <w:r w:rsidRPr="00CB562A">
        <w:t>subd</w:t>
      </w:r>
      <w:proofErr w:type="spellEnd"/>
      <w:r w:rsidRPr="00CB562A">
        <w:t xml:space="preserve">. 5. The identification, selection, and approval of probationary teachers to be released is solely at the Board’s discretion. </w:t>
      </w:r>
    </w:p>
    <w:p w:rsidR="00843F3A" w:rsidRPr="00CB562A" w:rsidRDefault="00843F3A" w:rsidP="00843F3A">
      <w:pPr>
        <w:widowControl w:val="0"/>
        <w:tabs>
          <w:tab w:val="left" w:pos="-1440"/>
          <w:tab w:val="left" w:pos="-720"/>
        </w:tabs>
        <w:ind w:left="1440" w:hanging="360"/>
      </w:pPr>
      <w:r w:rsidRPr="00CB562A">
        <w:rPr>
          <w:u w:val="single"/>
        </w:rPr>
        <w:t>Qualified:</w:t>
      </w:r>
      <w:r w:rsidRPr="00CB562A">
        <w:t xml:space="preserve">  For purposes of Article XIII and the placement of teachers on ULA, a teacher is “qualified” to teach in a “subject matter or field” if the teacher is licensed in that subject matter or field and </w:t>
      </w:r>
      <w:r w:rsidRPr="00CB562A">
        <w:lastRenderedPageBreak/>
        <w:t xml:space="preserve">has taught in that subject matter or field for at least 90 duty days or one (1) semester in the previous five (5) years </w:t>
      </w:r>
      <w:r w:rsidRPr="00CB562A">
        <w:rPr>
          <w:strike/>
          <w:highlight w:val="yellow"/>
        </w:rPr>
        <w:t>and have acquired continuing contract rights</w:t>
      </w:r>
      <w:r w:rsidRPr="00CB562A">
        <w:t>.</w:t>
      </w:r>
    </w:p>
    <w:p w:rsidR="00843F3A" w:rsidRPr="00CB562A" w:rsidRDefault="00843F3A" w:rsidP="00843F3A">
      <w:pPr>
        <w:widowControl w:val="0"/>
        <w:tabs>
          <w:tab w:val="left" w:pos="-1440"/>
          <w:tab w:val="left" w:pos="-720"/>
        </w:tabs>
        <w:ind w:left="1440" w:hanging="360"/>
      </w:pPr>
      <w:r w:rsidRPr="00CB562A">
        <w:rPr>
          <w:u w:val="single"/>
        </w:rPr>
        <w:t xml:space="preserve">Realignment: </w:t>
      </w:r>
      <w:r w:rsidRPr="00CB562A">
        <w:t>The District is not required, under any circumstance, to realign positions to different subject matters, fields, licensure areas, or other positions to accommodate the claims of another teacher. Consequently, the District is not required to realign any positions when placing teachers on ULA or when recalling any teachers from ULA.</w:t>
      </w:r>
    </w:p>
    <w:p w:rsidR="00843F3A" w:rsidRPr="00CB562A" w:rsidRDefault="00843F3A" w:rsidP="00843F3A">
      <w:pPr>
        <w:widowControl w:val="0"/>
        <w:tabs>
          <w:tab w:val="left" w:pos="-1440"/>
          <w:tab w:val="left" w:pos="-720"/>
          <w:tab w:val="left" w:pos="480"/>
          <w:tab w:val="left" w:pos="1440"/>
        </w:tabs>
        <w:ind w:left="1440" w:hanging="1080"/>
        <w:rPr>
          <w:u w:val="single"/>
        </w:rPr>
      </w:pPr>
      <w:proofErr w:type="spellStart"/>
      <w:r w:rsidRPr="00CB562A">
        <w:rPr>
          <w:u w:val="single"/>
        </w:rPr>
        <w:t>Subd</w:t>
      </w:r>
      <w:proofErr w:type="spellEnd"/>
      <w:r w:rsidRPr="00CB562A">
        <w:rPr>
          <w:u w:val="single"/>
        </w:rPr>
        <w:t>. 2. Process:</w:t>
      </w:r>
    </w:p>
    <w:p w:rsidR="00843F3A" w:rsidRPr="00CB562A" w:rsidRDefault="00843F3A" w:rsidP="00843F3A">
      <w:pPr>
        <w:widowControl w:val="0"/>
        <w:tabs>
          <w:tab w:val="left" w:pos="-1440"/>
          <w:tab w:val="left" w:pos="-720"/>
          <w:tab w:val="left" w:pos="1440"/>
        </w:tabs>
        <w:ind w:left="1440" w:right="576" w:hanging="360"/>
      </w:pPr>
      <w:r w:rsidRPr="00CB562A">
        <w:t>Unrequested leaves of absences shall occur in the following order for all teachers prior to</w:t>
      </w:r>
    </w:p>
    <w:p w:rsidR="00843F3A" w:rsidRPr="00CB562A" w:rsidRDefault="00843F3A" w:rsidP="00843F3A">
      <w:pPr>
        <w:widowControl w:val="0"/>
        <w:tabs>
          <w:tab w:val="left" w:pos="-1440"/>
          <w:tab w:val="left" w:pos="-720"/>
          <w:tab w:val="left" w:pos="1440"/>
        </w:tabs>
        <w:ind w:left="1440" w:right="576" w:hanging="360"/>
      </w:pPr>
      <w:r w:rsidRPr="00CB562A">
        <w:t>May 15</w:t>
      </w:r>
      <w:r w:rsidRPr="00CB562A">
        <w:rPr>
          <w:vertAlign w:val="superscript"/>
        </w:rPr>
        <w:t>th</w:t>
      </w:r>
      <w:r w:rsidRPr="00CB562A">
        <w:t>:</w:t>
      </w:r>
    </w:p>
    <w:p w:rsidR="00843F3A" w:rsidRPr="00CB562A" w:rsidRDefault="00843F3A" w:rsidP="00843F3A">
      <w:pPr>
        <w:widowControl w:val="0"/>
        <w:numPr>
          <w:ilvl w:val="0"/>
          <w:numId w:val="1"/>
        </w:numPr>
        <w:tabs>
          <w:tab w:val="left" w:pos="1422"/>
        </w:tabs>
        <w:spacing w:after="0" w:line="240" w:lineRule="auto"/>
        <w:ind w:right="36"/>
        <w:rPr>
          <w:snapToGrid w:val="0"/>
        </w:rPr>
      </w:pPr>
      <w:r w:rsidRPr="00CB562A">
        <w:rPr>
          <w:snapToGrid w:val="0"/>
        </w:rPr>
        <w:t xml:space="preserve">Any teacher teaching under a Tier 1 or Tier 2 license or </w:t>
      </w:r>
      <w:r w:rsidRPr="00CB562A">
        <w:rPr>
          <w:snapToGrid w:val="0"/>
          <w:highlight w:val="yellow"/>
          <w:u w:val="single"/>
        </w:rPr>
        <w:t>Out of Field</w:t>
      </w:r>
      <w:r w:rsidRPr="00CB562A">
        <w:rPr>
          <w:snapToGrid w:val="0"/>
        </w:rPr>
        <w:t xml:space="preserve"> exemption. Teachers impacted by reductions who are on a Tier 1 or Tier 2 license or </w:t>
      </w:r>
      <w:r w:rsidRPr="00CB562A">
        <w:rPr>
          <w:snapToGrid w:val="0"/>
          <w:highlight w:val="yellow"/>
          <w:u w:val="single"/>
        </w:rPr>
        <w:t>Out of Field</w:t>
      </w:r>
      <w:r w:rsidRPr="00CB562A">
        <w:rPr>
          <w:snapToGrid w:val="0"/>
        </w:rPr>
        <w:t xml:space="preserve"> exemption will be placed on an Unrequested Leave of Absence if they are not qualified under a Tier 3 or higher license. </w:t>
      </w:r>
    </w:p>
    <w:p w:rsidR="00843F3A" w:rsidRPr="00CB562A" w:rsidRDefault="00843F3A" w:rsidP="00843F3A">
      <w:pPr>
        <w:widowControl w:val="0"/>
        <w:numPr>
          <w:ilvl w:val="0"/>
          <w:numId w:val="1"/>
        </w:numPr>
        <w:tabs>
          <w:tab w:val="left" w:pos="1422"/>
        </w:tabs>
        <w:spacing w:after="0" w:line="240" w:lineRule="auto"/>
        <w:ind w:right="36"/>
        <w:rPr>
          <w:snapToGrid w:val="0"/>
        </w:rPr>
      </w:pPr>
      <w:r w:rsidRPr="00CB562A">
        <w:rPr>
          <w:snapToGrid w:val="0"/>
        </w:rPr>
        <w:t xml:space="preserve">Non-qualified teachers. Teachers impacted by reductions who are not qualified per </w:t>
      </w:r>
      <w:proofErr w:type="spellStart"/>
      <w:r w:rsidRPr="00CB562A">
        <w:rPr>
          <w:snapToGrid w:val="0"/>
        </w:rPr>
        <w:t>Subd</w:t>
      </w:r>
      <w:proofErr w:type="spellEnd"/>
      <w:r w:rsidRPr="00CB562A">
        <w:rPr>
          <w:snapToGrid w:val="0"/>
        </w:rPr>
        <w:t>. 1 will be placed on an Unrequested Leave of Absence.</w:t>
      </w:r>
    </w:p>
    <w:p w:rsidR="00843F3A" w:rsidRPr="00CB562A" w:rsidRDefault="00843F3A" w:rsidP="00843F3A">
      <w:pPr>
        <w:widowControl w:val="0"/>
        <w:numPr>
          <w:ilvl w:val="0"/>
          <w:numId w:val="1"/>
        </w:numPr>
        <w:spacing w:after="0" w:line="240" w:lineRule="auto"/>
        <w:rPr>
          <w:snapToGrid w:val="0"/>
          <w:u w:val="single"/>
        </w:rPr>
      </w:pPr>
      <w:r w:rsidRPr="00CB562A">
        <w:rPr>
          <w:snapToGrid w:val="0"/>
          <w:highlight w:val="yellow"/>
          <w:u w:val="single"/>
        </w:rPr>
        <w:t>Any qualified teacher with disciplinary action within the last three (3) years. Qualified teachers who have received disciplinary action within the last three (3) years will be placed on an Unrequested Leave of Absence.</w:t>
      </w:r>
    </w:p>
    <w:p w:rsidR="00DA0588" w:rsidRDefault="00843F3A" w:rsidP="00843F3A">
      <w:pPr>
        <w:widowControl w:val="0"/>
        <w:numPr>
          <w:ilvl w:val="0"/>
          <w:numId w:val="1"/>
        </w:numPr>
        <w:spacing w:after="0" w:line="240" w:lineRule="auto"/>
        <w:rPr>
          <w:snapToGrid w:val="0"/>
          <w:highlight w:val="yellow"/>
          <w:u w:val="single"/>
        </w:rPr>
      </w:pPr>
      <w:r w:rsidRPr="00CB562A">
        <w:rPr>
          <w:snapToGrid w:val="0"/>
        </w:rPr>
        <w:t>The least senior, qualified teacher. The least senior, qualified teacher within a department or license area will be placed on Unrequested Leave of Absence.</w:t>
      </w:r>
    </w:p>
    <w:p w:rsidR="00843F3A" w:rsidRPr="00843F3A" w:rsidRDefault="00843F3A" w:rsidP="00843F3A">
      <w:pPr>
        <w:widowControl w:val="0"/>
        <w:spacing w:after="0" w:line="240" w:lineRule="auto"/>
        <w:ind w:left="1440"/>
        <w:rPr>
          <w:snapToGrid w:val="0"/>
          <w:highlight w:val="yellow"/>
          <w:u w:val="single"/>
        </w:rPr>
      </w:pPr>
    </w:p>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Pr="007B5A78" w:rsidRDefault="00843F3A" w:rsidP="00DA058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Teachers that have discipline action may be furloughed for up to three years. Teachers that are the last to be hired may have more opportunity to remain in the classroom.</w:t>
      </w:r>
      <w:bookmarkStart w:id="0" w:name="_GoBack"/>
      <w:bookmarkEnd w:id="0"/>
    </w:p>
    <w:sectPr w:rsidR="007B5A78" w:rsidRPr="007B5A78" w:rsidSect="00DA0588">
      <w:headerReference w:type="even" r:id="rId7"/>
      <w:headerReference w:type="default" r:id="rId8"/>
      <w:footerReference w:type="even" r:id="rId9"/>
      <w:footerReference w:type="default" r:id="rId10"/>
      <w:headerReference w:type="first" r:id="rId11"/>
      <w:footerReference w:type="first" r:id="rId12"/>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40" w:rsidRDefault="002B4A40" w:rsidP="002B4A40">
      <w:pPr>
        <w:spacing w:after="0" w:line="240" w:lineRule="auto"/>
      </w:pPr>
      <w:r>
        <w:separator/>
      </w:r>
    </w:p>
  </w:endnote>
  <w:endnote w:type="continuationSeparator" w:id="0">
    <w:p w:rsidR="002B4A40" w:rsidRDefault="002B4A40"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40" w:rsidRDefault="002B4A40" w:rsidP="002B4A40">
      <w:pPr>
        <w:spacing w:after="0" w:line="240" w:lineRule="auto"/>
      </w:pPr>
      <w:r>
        <w:separator/>
      </w:r>
    </w:p>
  </w:footnote>
  <w:footnote w:type="continuationSeparator" w:id="0">
    <w:p w:rsidR="002B4A40" w:rsidRDefault="002B4A40"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2B4A40" w:rsidRDefault="007219A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40E5D"/>
    <w:multiLevelType w:val="hybridMultilevel"/>
    <w:tmpl w:val="206ADEB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8"/>
    <w:rsid w:val="002B4A40"/>
    <w:rsid w:val="00344284"/>
    <w:rsid w:val="004F346D"/>
    <w:rsid w:val="0063683C"/>
    <w:rsid w:val="006D3DB5"/>
    <w:rsid w:val="007219AD"/>
    <w:rsid w:val="007B5A78"/>
    <w:rsid w:val="00843F3A"/>
    <w:rsid w:val="0095084C"/>
    <w:rsid w:val="00B24447"/>
    <w:rsid w:val="00B529D1"/>
    <w:rsid w:val="00D754FE"/>
    <w:rsid w:val="00DA0588"/>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9353A6"/>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SOVINE</dc:creator>
  <cp:lastModifiedBy>STACEY SOVINE</cp:lastModifiedBy>
  <cp:revision>3</cp:revision>
  <dcterms:created xsi:type="dcterms:W3CDTF">2021-05-18T18:50:00Z</dcterms:created>
  <dcterms:modified xsi:type="dcterms:W3CDTF">2021-05-18T18:50:00Z</dcterms:modified>
</cp:coreProperties>
</file>